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E1" w:rsidRPr="002F54AF" w:rsidRDefault="00654AE1" w:rsidP="00654A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54AF">
        <w:rPr>
          <w:rFonts w:ascii="Times New Roman" w:hAnsi="Times New Roman" w:cs="Times New Roman"/>
          <w:sz w:val="28"/>
          <w:szCs w:val="28"/>
        </w:rPr>
        <w:t>КРИТЕРИИ ДОСТУПНОСТИ</w:t>
      </w:r>
    </w:p>
    <w:p w:rsidR="00654AE1" w:rsidRPr="002F54AF" w:rsidRDefault="00654AE1" w:rsidP="00654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4AF">
        <w:rPr>
          <w:rFonts w:ascii="Times New Roman" w:hAnsi="Times New Roman" w:cs="Times New Roman"/>
          <w:sz w:val="28"/>
          <w:szCs w:val="28"/>
        </w:rPr>
        <w:t>И КАЧЕСТВА МЕДИЦИНСКОЙ ПОМОЩИ, ОКАЗЫВАЕМОЙ</w:t>
      </w:r>
    </w:p>
    <w:p w:rsidR="00654AE1" w:rsidRPr="002F54AF" w:rsidRDefault="00654AE1" w:rsidP="00654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54AF">
        <w:rPr>
          <w:rFonts w:ascii="Times New Roman" w:hAnsi="Times New Roman" w:cs="Times New Roman"/>
          <w:sz w:val="28"/>
          <w:szCs w:val="28"/>
        </w:rPr>
        <w:t>В РАМКАХ ПРОГРАММЫ</w:t>
      </w:r>
    </w:p>
    <w:p w:rsidR="002F54AF" w:rsidRPr="002F54AF" w:rsidRDefault="002F54AF" w:rsidP="00654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4AF" w:rsidRPr="002F54AF" w:rsidRDefault="002F54AF" w:rsidP="00654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4AF" w:rsidRPr="002F54AF" w:rsidRDefault="002F54AF" w:rsidP="00654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4AF" w:rsidRPr="002F54AF" w:rsidRDefault="002F54AF" w:rsidP="002F54AF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 w:rsidRPr="002F54AF">
        <w:rPr>
          <w:rFonts w:ascii="Times New Roman" w:hAnsi="Times New Roman" w:cs="Times New Roman"/>
          <w:sz w:val="28"/>
          <w:szCs w:val="28"/>
          <w:u w:val="single"/>
        </w:rPr>
        <w:t xml:space="preserve">Вологодская область </w:t>
      </w:r>
    </w:p>
    <w:p w:rsidR="00654AE1" w:rsidRPr="002F54AF" w:rsidRDefault="002F54AF" w:rsidP="002F54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54AF">
        <w:rPr>
          <w:rFonts w:ascii="Times New Roman" w:hAnsi="Times New Roman" w:cs="Times New Roman"/>
          <w:b w:val="0"/>
          <w:sz w:val="28"/>
          <w:szCs w:val="28"/>
        </w:rPr>
        <w:t>(</w:t>
      </w:r>
      <w:r w:rsidR="00654AE1" w:rsidRPr="002F54AF">
        <w:rPr>
          <w:rFonts w:ascii="Times New Roman" w:hAnsi="Times New Roman" w:cs="Times New Roman"/>
          <w:b w:val="0"/>
          <w:sz w:val="22"/>
          <w:szCs w:val="22"/>
        </w:rPr>
        <w:t>Постановление Правительства Вологодской области от 28.12.2023 N 1444</w:t>
      </w:r>
      <w:proofErr w:type="gramEnd"/>
    </w:p>
    <w:p w:rsidR="00654AE1" w:rsidRPr="002F54AF" w:rsidRDefault="002F54AF" w:rsidP="002F54AF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F54A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="00654AE1" w:rsidRPr="002F54AF">
        <w:rPr>
          <w:rFonts w:ascii="Times New Roman" w:hAnsi="Times New Roman" w:cs="Times New Roman"/>
          <w:b w:val="0"/>
          <w:sz w:val="22"/>
          <w:szCs w:val="22"/>
        </w:rPr>
        <w:t>"Об утверждении Программы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годов"</w:t>
      </w:r>
      <w:r w:rsidR="00654AE1" w:rsidRPr="002F54AF">
        <w:rPr>
          <w:rFonts w:ascii="Times New Roman" w:hAnsi="Times New Roman" w:cs="Times New Roman"/>
          <w:b w:val="0"/>
          <w:sz w:val="22"/>
          <w:szCs w:val="22"/>
        </w:rPr>
        <w:t>)</w:t>
      </w:r>
      <w:proofErr w:type="gramEnd"/>
    </w:p>
    <w:p w:rsidR="00654AE1" w:rsidRPr="002F54AF" w:rsidRDefault="00654AE1" w:rsidP="00654AE1">
      <w:pPr>
        <w:pStyle w:val="ConsPlusNormal"/>
        <w:jc w:val="both"/>
      </w:pPr>
    </w:p>
    <w:p w:rsidR="00654AE1" w:rsidRPr="002F54AF" w:rsidRDefault="00654AE1" w:rsidP="00654AE1">
      <w:pPr>
        <w:pStyle w:val="ConsPlusNormal"/>
        <w:jc w:val="both"/>
      </w:pPr>
    </w:p>
    <w:p w:rsidR="00654AE1" w:rsidRPr="002F54AF" w:rsidRDefault="00654AE1" w:rsidP="00654AE1">
      <w:pPr>
        <w:pStyle w:val="ConsPlusNormal"/>
        <w:ind w:firstLine="540"/>
        <w:jc w:val="both"/>
      </w:pPr>
      <w:r w:rsidRPr="002F54AF">
        <w:t>Целевые значения критериев доступности медицинской помощи:</w:t>
      </w:r>
    </w:p>
    <w:p w:rsidR="00654AE1" w:rsidRPr="002F54AF" w:rsidRDefault="00654AE1" w:rsidP="00654AE1">
      <w:pPr>
        <w:pStyle w:val="ConsPlusNormal"/>
        <w:spacing w:before="240"/>
        <w:ind w:firstLine="540"/>
        <w:jc w:val="both"/>
      </w:pPr>
      <w:proofErr w:type="gramStart"/>
      <w:r w:rsidRPr="002F54AF">
        <w:t>удовлетворенность населения доступностью медицинской помощи, в том числе городского и сельского населения (процентов числа опрошенных): 2024 год - 60,0%, в том числе городского населения - 62,0%, сельского населения - 52,0%; 2025 год - 60,0%, в том числе городского населения - 62,0%, сельского населения - 52,0%; 2026 год - 60,0%, в том числе городского населения - 62,0%, сельского населения - 52,0%;</w:t>
      </w:r>
      <w:proofErr w:type="gramEnd"/>
    </w:p>
    <w:p w:rsidR="00654AE1" w:rsidRPr="002F54AF" w:rsidRDefault="00654AE1" w:rsidP="00654AE1">
      <w:pPr>
        <w:pStyle w:val="ConsPlusNormal"/>
        <w:spacing w:before="240"/>
        <w:ind w:firstLine="540"/>
        <w:jc w:val="both"/>
      </w:pPr>
      <w:r w:rsidRPr="002F54AF">
        <w:t>доля расходов на оказание медицинской помощи в условиях дневных стационаров в общих расходах на Программу: 2024 год - 10,5%; 2025 год - 10,5%; 2026 год - 10,5%;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 w:rsidRPr="002F54AF">
        <w:t xml:space="preserve">доля расходов </w:t>
      </w:r>
      <w:proofErr w:type="gramStart"/>
      <w:r w:rsidRPr="002F54AF">
        <w:t>на оказание медицинской помощи в амбулаторных условиях в неотложной</w:t>
      </w:r>
      <w:r>
        <w:t xml:space="preserve"> форме в общих расходах на Программу</w:t>
      </w:r>
      <w:proofErr w:type="gramEnd"/>
      <w:r>
        <w:t>: 2024 год - 2,3; 2025 год - 2,3; 2026 год - 2,3;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страхования: 2024 год - 0,8%; 2025 год - 0,8%; 2026 год - 0,8%;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посещений выездной патронажной службы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населению: 2024 год - 82,8%; 2025 год - 82,8%; 2026 год - 82,8%;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жительства: 2024 год - 3; 2025 год - 3; 2026 год - 3;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соглашения: на 2024 год - 0, на 2025 год - 0; 2026 год - 0;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в 2024 году - 0,3, в 2025 году - 0,3, в 2026 году - 0,3;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граждан: в 2024 году - 98%, в 2025 году - 98%, в 2026 году - 98%;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наблюдения: в 2024 - 100%, в 2025 году - 100%, в 2026 году - 100%;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детей в возрасте от 2 до 17 лет с диагнозом "сахарный диабет", обеспеченных </w:t>
      </w:r>
      <w:r>
        <w:lastRenderedPageBreak/>
        <w:t>медицинскими изделиями для непрерывного мониторинга уровня глюкозы в крови, в 2024 - 80%, в 2025 году - 85%, в 2026 году - 90%.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Целевые значения критериев качества медицинской помощи: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на 2024 год - 15,0%; на 2025 год - 15,0%; на 2026 год - 15,0%;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несовершеннолетних: на 2024 год - 3,3%; на 2025 год - 3,3%; на 2026 год - 3,3%;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2024 год - 4%; 2025 год - 4%; 2026 год - 4%;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новообразованиями: 2024 год - 97,0%; 2025 год - 97,0%; 2026 год - 97,0%;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пациентов с инфарктом миокарда, госпитализированных </w:t>
      </w:r>
      <w:proofErr w:type="gramStart"/>
      <w:r>
        <w:t>в первые</w:t>
      </w:r>
      <w:proofErr w:type="gramEnd"/>
      <w:r>
        <w:t xml:space="preserve"> 12 часов от начала заболевания, в общем количестве госпитализированных пациентов с инфарктом миокарда: 2024 год - 52%; 2025 год - 52%; 2025 год - 52%;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миокарда, имеющих показания к его проведению: 2024 год - 60%; 2025 год - 60%; 2026 год - 60%;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>
        <w:t>тромболизис</w:t>
      </w:r>
      <w:proofErr w:type="spellEnd"/>
      <w: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2024 год - 15%; 2025 год - 15%; 2026 год - 15%;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пациентов с острым инфарктом миокарда, которым проведена </w:t>
      </w:r>
      <w:proofErr w:type="spellStart"/>
      <w:r>
        <w:t>тромболитическая</w:t>
      </w:r>
      <w:proofErr w:type="spellEnd"/>
      <w:r>
        <w:t xml:space="preserve"> терапия </w:t>
      </w:r>
      <w:proofErr w:type="gramStart"/>
      <w:r>
        <w:t>в первые</w:t>
      </w:r>
      <w:proofErr w:type="gramEnd"/>
      <w:r>
        <w:t xml:space="preserve"> 12 часов от начала заболевания, в общем количестве пациентов с острым инфарктом миокарда, имеющих показания к ее проведению: 2024 год - 25%; 2025 год - 25%; 2026 год - 25%;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Программой: 2024 год - 90%; 2025 год - 90%; 2026 год - 90%;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пациентов с острыми цереброваскулярными болезнями, госпитализированных </w:t>
      </w:r>
      <w:proofErr w:type="gramStart"/>
      <w:r>
        <w:t>в первые</w:t>
      </w:r>
      <w:proofErr w:type="gramEnd"/>
      <w:r>
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болезнями: 2024 год - 41,5%; 2025 год - 41,5%; 2026 год - 41,5%;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</w:r>
      <w:proofErr w:type="gramStart"/>
      <w:r>
        <w:t>в первые</w:t>
      </w:r>
      <w:proofErr w:type="gramEnd"/>
      <w:r>
        <w:t xml:space="preserve"> 6 часов от начала заболевания: 2024 год - 4,0%; 2025 год - 4,0%; 2026 год - 4,0%;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центры: 2024 год - 7,0%; 2025 </w:t>
      </w:r>
      <w:r>
        <w:lastRenderedPageBreak/>
        <w:t>год - 7,0%; 2026 год - 7,0%;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помощи: 2024 год - 80%; 2025 год - 80%; 2026 год - 80%;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пациентов, получающих лечебное (</w:t>
      </w:r>
      <w:proofErr w:type="spellStart"/>
      <w:r>
        <w:t>энтеральное</w:t>
      </w:r>
      <w:proofErr w:type="spellEnd"/>
      <w:r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>
        <w:t>энтеральном</w:t>
      </w:r>
      <w:proofErr w:type="spellEnd"/>
      <w:r>
        <w:t>) питании при оказании паллиативной медицинской помощи: 2024 год - 100%; 2025 год - 100%; 2026 год - 100%;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женщинам):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мужчины - 2024 год - 20%; 2025 год - 20%; 2026 год - 20%;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женщины - 2024 год - 20%; 2025 год - 20%; 2026 год - 20%;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гарантий: 2024 год - до 3; 2025 год - до 3; 2026 год - до 3;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"бронхиальная астма", процентов в год: 2024 год - 94,9%; 2025 год - 94,9%; 2026 год - 94,9%;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охват диспансерным наблюдением граждан, состоящих на учете в медицинской организации с диагнозом "хроническая </w:t>
      </w:r>
      <w:proofErr w:type="spellStart"/>
      <w:r>
        <w:t>обструктивная</w:t>
      </w:r>
      <w:proofErr w:type="spellEnd"/>
      <w:r>
        <w:t xml:space="preserve"> болезнь легких", процентов в год: 2024 год - 47,1%; 2025 год - 47,1%; 2026 год - 47,1%;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обеспечение: 2024 год - 51,8%; 2025 год - 51,8%; 2026 год - 51,8%;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год: 2024 год - 96,0%; 2025 год - 96,0%; 2026 год - 96,0%;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год: 2024 год - 32; 2025 год - 32; 2026 год - 32;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диагноза: 2024 год - 85,0%; 2025 год - 85,0%; 2026 год - 85,0%;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в 2024 году - 0,1%; в 2025 году - 0,1%; в 2026 году - 0,1%;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бесплодие": в 2024 году - 100%; в 2025 году - 100%; в 2026 году - 100%;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число циклов экстракорпорального оплодотворения, выполняемых в течение одного года: в 2024 году - 653; в 2025 году - 653; в 2026 году - 653;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 xml:space="preserve">доля случаев экстракорпорального оплодотворения, по результатам которого у женщины </w:t>
      </w:r>
      <w:r>
        <w:lastRenderedPageBreak/>
        <w:t>наступила беременность: в 2024 году - 38%; в 2025 году - 38%; в 2026 году - 38%;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эмбрионов): в 2024 году - 25%; в 2025 году - 25%; в 2026 году - 25%.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</w:t>
      </w:r>
      <w:proofErr w:type="spellStart"/>
      <w:r>
        <w:t>энтеральное</w:t>
      </w:r>
      <w:proofErr w:type="spellEnd"/>
      <w:r>
        <w:t>) питание, из числа нуждающихся: в 2024 году - 100%; в 2025 году - 100%; в 2026 году - 100%.</w:t>
      </w:r>
    </w:p>
    <w:p w:rsidR="00654AE1" w:rsidRDefault="00654AE1" w:rsidP="00654AE1">
      <w:pPr>
        <w:pStyle w:val="ConsPlusNormal"/>
        <w:spacing w:before="240"/>
        <w:ind w:firstLine="540"/>
        <w:jc w:val="both"/>
      </w:pPr>
      <w:r>
        <w:t>Оценка достижения критериев доступности и качества медицинской помощи осуществляется департаментом здравоохранения области 1 раз в полгода с направлением соответствующих данных в Министерство здравоохранения Российской Федерации.</w:t>
      </w:r>
    </w:p>
    <w:p w:rsidR="003E4D6C" w:rsidRDefault="00EF2126"/>
    <w:p w:rsidR="002F54AF" w:rsidRPr="002F54AF" w:rsidRDefault="002F54AF" w:rsidP="002F54AF">
      <w:pPr>
        <w:pStyle w:val="ConsPlusTitle"/>
        <w:rPr>
          <w:rFonts w:ascii="Times New Roman" w:hAnsi="Times New Roman" w:cs="Times New Roman"/>
          <w:sz w:val="28"/>
          <w:szCs w:val="28"/>
          <w:u w:val="single"/>
        </w:rPr>
      </w:pPr>
      <w:r w:rsidRPr="002F54AF">
        <w:rPr>
          <w:rFonts w:ascii="Times New Roman" w:hAnsi="Times New Roman" w:cs="Times New Roman"/>
          <w:sz w:val="28"/>
          <w:szCs w:val="28"/>
          <w:u w:val="single"/>
        </w:rPr>
        <w:t>Архангельская область</w:t>
      </w:r>
    </w:p>
    <w:p w:rsidR="002F54AF" w:rsidRPr="002F54AF" w:rsidRDefault="002F54AF" w:rsidP="002F54AF">
      <w:pPr>
        <w:pStyle w:val="ConsPlusTitle"/>
        <w:rPr>
          <w:rFonts w:ascii="Times New Roman" w:hAnsi="Times New Roman" w:cs="Times New Roman"/>
          <w:b w:val="0"/>
        </w:rPr>
      </w:pPr>
      <w:proofErr w:type="gramStart"/>
      <w:r w:rsidRPr="002F54AF">
        <w:rPr>
          <w:rFonts w:ascii="Times New Roman" w:hAnsi="Times New Roman" w:cs="Times New Roman"/>
          <w:b w:val="0"/>
        </w:rPr>
        <w:t xml:space="preserve">(постановление Правительства Архангельской области </w:t>
      </w:r>
      <w:r w:rsidRPr="002F54AF">
        <w:rPr>
          <w:rFonts w:ascii="Times New Roman" w:hAnsi="Times New Roman" w:cs="Times New Roman"/>
          <w:b w:val="0"/>
        </w:rPr>
        <w:t>от 27.12.2023 N 1355-пп</w:t>
      </w:r>
      <w:r>
        <w:rPr>
          <w:rFonts w:ascii="Times New Roman" w:hAnsi="Times New Roman" w:cs="Times New Roman"/>
          <w:b w:val="0"/>
        </w:rPr>
        <w:t xml:space="preserve"> «</w:t>
      </w:r>
      <w:r w:rsidRPr="002F54AF">
        <w:rPr>
          <w:rFonts w:ascii="Times New Roman" w:hAnsi="Times New Roman" w:cs="Times New Roman"/>
          <w:b w:val="0"/>
        </w:rPr>
        <w:t>ОБ УТВЕРЖДЕНИИ ТЕРРИТОРИАЛЬНОЙ ПРОГРАММЫ ГОСУДАРСТВЕННЫХ</w:t>
      </w:r>
      <w:proofErr w:type="gramEnd"/>
    </w:p>
    <w:p w:rsidR="002F54AF" w:rsidRPr="002F54AF" w:rsidRDefault="002F54AF" w:rsidP="002F54AF">
      <w:pPr>
        <w:pStyle w:val="ConsPlusTitle"/>
        <w:rPr>
          <w:rFonts w:ascii="Times New Roman" w:hAnsi="Times New Roman" w:cs="Times New Roman"/>
          <w:b w:val="0"/>
        </w:rPr>
      </w:pPr>
      <w:r w:rsidRPr="002F54AF">
        <w:rPr>
          <w:rFonts w:ascii="Times New Roman" w:hAnsi="Times New Roman" w:cs="Times New Roman"/>
          <w:b w:val="0"/>
        </w:rPr>
        <w:t>ГАРАНТИЙ БЕСПЛАТНОГО ОКАЗАНИЯ ГРАЖДАНАМ МЕДИЦИНСКОЙ ПОМОЩИ</w:t>
      </w:r>
    </w:p>
    <w:p w:rsidR="002F54AF" w:rsidRPr="002F54AF" w:rsidRDefault="002F54AF" w:rsidP="002F54AF">
      <w:pPr>
        <w:pStyle w:val="ConsPlusTitle"/>
        <w:rPr>
          <w:rFonts w:ascii="Times New Roman" w:hAnsi="Times New Roman" w:cs="Times New Roman"/>
          <w:b w:val="0"/>
        </w:rPr>
      </w:pPr>
      <w:r w:rsidRPr="002F54AF">
        <w:rPr>
          <w:rFonts w:ascii="Times New Roman" w:hAnsi="Times New Roman" w:cs="Times New Roman"/>
          <w:b w:val="0"/>
        </w:rPr>
        <w:t>В АРХАНГЕЛЬСКОЙ ОБЛАСТИ НА 2024 ГОД И НА ПЛАНОВЫЙ ПЕРИОД</w:t>
      </w:r>
    </w:p>
    <w:p w:rsidR="002F54AF" w:rsidRPr="002F54AF" w:rsidRDefault="002F54AF" w:rsidP="002F54AF">
      <w:pPr>
        <w:pStyle w:val="ConsPlusTitle"/>
        <w:rPr>
          <w:rFonts w:ascii="Times New Roman" w:hAnsi="Times New Roman" w:cs="Times New Roman"/>
          <w:b w:val="0"/>
        </w:rPr>
      </w:pPr>
      <w:r w:rsidRPr="002F54AF">
        <w:rPr>
          <w:rFonts w:ascii="Times New Roman" w:hAnsi="Times New Roman" w:cs="Times New Roman"/>
          <w:b w:val="0"/>
        </w:rPr>
        <w:t>2025</w:t>
      </w:r>
      <w:proofErr w:type="gramStart"/>
      <w:r w:rsidRPr="002F54AF">
        <w:rPr>
          <w:rFonts w:ascii="Times New Roman" w:hAnsi="Times New Roman" w:cs="Times New Roman"/>
          <w:b w:val="0"/>
        </w:rPr>
        <w:t xml:space="preserve"> И</w:t>
      </w:r>
      <w:proofErr w:type="gramEnd"/>
      <w:r w:rsidRPr="002F54AF">
        <w:rPr>
          <w:rFonts w:ascii="Times New Roman" w:hAnsi="Times New Roman" w:cs="Times New Roman"/>
          <w:b w:val="0"/>
        </w:rPr>
        <w:t xml:space="preserve"> 2026 ГОДОВ</w:t>
      </w:r>
      <w:r>
        <w:rPr>
          <w:rFonts w:ascii="Times New Roman" w:hAnsi="Times New Roman" w:cs="Times New Roman"/>
          <w:b w:val="0"/>
        </w:rPr>
        <w:t>»</w:t>
      </w:r>
    </w:p>
    <w:p w:rsidR="002F54AF" w:rsidRDefault="002F54AF" w:rsidP="002F54AF">
      <w:pPr>
        <w:pStyle w:val="ConsPlusTitle"/>
        <w:rPr>
          <w:b w:val="0"/>
          <w:sz w:val="28"/>
          <w:szCs w:val="28"/>
        </w:rPr>
      </w:pPr>
    </w:p>
    <w:p w:rsidR="002F54AF" w:rsidRDefault="002F54AF" w:rsidP="002F54AF">
      <w:pPr>
        <w:pStyle w:val="ConsPlusNormal"/>
        <w:jc w:val="right"/>
        <w:outlineLvl w:val="1"/>
      </w:pPr>
      <w:r>
        <w:t>Приложение N 3</w:t>
      </w:r>
    </w:p>
    <w:p w:rsidR="002F54AF" w:rsidRDefault="002F54AF" w:rsidP="002F54AF">
      <w:pPr>
        <w:pStyle w:val="ConsPlusNormal"/>
        <w:jc w:val="right"/>
      </w:pPr>
      <w:r>
        <w:t>к территориальной программе</w:t>
      </w:r>
    </w:p>
    <w:p w:rsidR="002F54AF" w:rsidRDefault="002F54AF" w:rsidP="002F54AF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2F54AF" w:rsidRDefault="002F54AF" w:rsidP="002F54AF">
      <w:pPr>
        <w:pStyle w:val="ConsPlusNormal"/>
        <w:jc w:val="right"/>
      </w:pPr>
      <w:r>
        <w:t>оказания гражданам медицинской помощи</w:t>
      </w:r>
    </w:p>
    <w:p w:rsidR="002F54AF" w:rsidRDefault="002F54AF" w:rsidP="002F54AF">
      <w:pPr>
        <w:pStyle w:val="ConsPlusNormal"/>
        <w:jc w:val="right"/>
      </w:pPr>
      <w:r>
        <w:t>в Архангельской области на 2024 год и</w:t>
      </w:r>
    </w:p>
    <w:p w:rsidR="002F54AF" w:rsidRDefault="002F54AF" w:rsidP="002F54AF">
      <w:pPr>
        <w:pStyle w:val="ConsPlusNormal"/>
        <w:jc w:val="right"/>
      </w:pPr>
      <w:r>
        <w:t>на плановый период 2025 и 2026 годов</w:t>
      </w:r>
    </w:p>
    <w:p w:rsidR="002F54AF" w:rsidRDefault="002F54AF" w:rsidP="002F54AF">
      <w:pPr>
        <w:pStyle w:val="ConsPlusNormal"/>
        <w:jc w:val="center"/>
      </w:pPr>
    </w:p>
    <w:p w:rsidR="002F54AF" w:rsidRPr="00EF2126" w:rsidRDefault="002F54AF" w:rsidP="002F54AF">
      <w:pPr>
        <w:pStyle w:val="ConsPlusTitle"/>
        <w:jc w:val="center"/>
        <w:rPr>
          <w:b w:val="0"/>
        </w:rPr>
      </w:pPr>
      <w:bookmarkStart w:id="0" w:name="P6223"/>
      <w:bookmarkEnd w:id="0"/>
      <w:r w:rsidRPr="00EF2126">
        <w:rPr>
          <w:b w:val="0"/>
        </w:rPr>
        <w:t>ЦЕЛЕВЫЕ ЗНАЧЕНИЯ</w:t>
      </w:r>
    </w:p>
    <w:p w:rsidR="002F54AF" w:rsidRPr="00EF2126" w:rsidRDefault="002F54AF" w:rsidP="002F54AF">
      <w:pPr>
        <w:pStyle w:val="ConsPlusTitle"/>
        <w:jc w:val="center"/>
        <w:rPr>
          <w:b w:val="0"/>
        </w:rPr>
      </w:pPr>
      <w:r w:rsidRPr="00EF2126">
        <w:rPr>
          <w:b w:val="0"/>
        </w:rPr>
        <w:t>критериев доступности и качества медицинской помощи</w:t>
      </w:r>
    </w:p>
    <w:p w:rsidR="002F54AF" w:rsidRDefault="002F54AF" w:rsidP="002F54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5778"/>
        <w:gridCol w:w="964"/>
        <w:gridCol w:w="907"/>
        <w:gridCol w:w="907"/>
      </w:tblGrid>
      <w:tr w:rsidR="002F54AF" w:rsidTr="00BA50DE">
        <w:tc>
          <w:tcPr>
            <w:tcW w:w="6290" w:type="dxa"/>
            <w:gridSpan w:val="2"/>
          </w:tcPr>
          <w:p w:rsidR="002F54AF" w:rsidRDefault="002F54AF" w:rsidP="00BA50DE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2026 год</w:t>
            </w:r>
          </w:p>
        </w:tc>
      </w:tr>
      <w:tr w:rsidR="002F54AF" w:rsidTr="00BA50DE">
        <w:tc>
          <w:tcPr>
            <w:tcW w:w="6290" w:type="dxa"/>
            <w:gridSpan w:val="2"/>
          </w:tcPr>
          <w:p w:rsidR="002F54AF" w:rsidRDefault="002F54AF" w:rsidP="00BA5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</w:t>
            </w:r>
          </w:p>
        </w:tc>
      </w:tr>
      <w:tr w:rsidR="002F54AF" w:rsidTr="00BA50DE">
        <w:tc>
          <w:tcPr>
            <w:tcW w:w="512" w:type="dxa"/>
            <w:vMerge w:val="restart"/>
          </w:tcPr>
          <w:p w:rsidR="002F54AF" w:rsidRDefault="002F54AF" w:rsidP="00BA5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Удовлетворенность населения медицинской помощью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43,5</w:t>
            </w: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</w:pP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54,6</w:t>
            </w: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сельского населения (процентов от числа опрошенных)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47,8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8,8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1,9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пациентов, получивших специализированную медицинскую помощь в стационарных условиях в федеральных медицинских организациях, в общем </w:t>
            </w:r>
            <w:r>
              <w:lastRenderedPageBreak/>
              <w:t>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lastRenderedPageBreak/>
              <w:t>0,006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0,006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65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4,4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впервые выявленных онкологических заболеваний (ЗНО)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0,3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89,5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90,0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52,5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80,0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 xml:space="preserve">, в общем количестве пациентов с острым и повторным </w:t>
            </w:r>
            <w:r>
              <w:lastRenderedPageBreak/>
              <w:t>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lastRenderedPageBreak/>
              <w:t>20,5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21,0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25,7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42,6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3,8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3,8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95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Число циклов ЭКО, выполняемых медицинской организацией в течение одного года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100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</w:t>
            </w:r>
            <w:r>
              <w:lastRenderedPageBreak/>
              <w:t>течение года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lastRenderedPageBreak/>
              <w:t>4,8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47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9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80,5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55,4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55,0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 на 100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населения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49,0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 xml:space="preserve">Количество случаев госпитализации с диагнозом "хроническая сердечная недостаточность" на 100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населения в год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50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Количество случаев госпитализации с диагнозом "гипертоническая болезнь" на 100 тыс. населения в год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333,3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332,8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332,4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214,8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214,5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214,0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32,6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</w:tr>
      <w:tr w:rsidR="002F54AF" w:rsidTr="00BA50DE">
        <w:tc>
          <w:tcPr>
            <w:tcW w:w="512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</w:t>
            </w:r>
          </w:p>
        </w:tc>
      </w:tr>
      <w:tr w:rsidR="002F54AF" w:rsidTr="00BA50DE">
        <w:tc>
          <w:tcPr>
            <w:tcW w:w="512" w:type="dxa"/>
            <w:vMerge w:val="restart"/>
          </w:tcPr>
          <w:p w:rsidR="002F54AF" w:rsidRDefault="002F54AF" w:rsidP="00BA50D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Коэффициент выполнения функции врачебной должности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</w:pP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</w:tr>
      <w:tr w:rsidR="002F54AF" w:rsidTr="00BA50DE">
        <w:tc>
          <w:tcPr>
            <w:tcW w:w="512" w:type="dxa"/>
            <w:vMerge w:val="restart"/>
          </w:tcPr>
          <w:p w:rsidR="002F54AF" w:rsidRDefault="002F54AF" w:rsidP="00BA50D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Коэффициент эффективного использования коечного фонда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</w:pP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1,0</w:t>
            </w:r>
          </w:p>
        </w:tc>
      </w:tr>
      <w:tr w:rsidR="002F54AF" w:rsidTr="00BA50DE">
        <w:tc>
          <w:tcPr>
            <w:tcW w:w="512" w:type="dxa"/>
            <w:vMerge/>
          </w:tcPr>
          <w:p w:rsidR="002F54AF" w:rsidRDefault="002F54AF" w:rsidP="00BA50DE">
            <w:pPr>
              <w:pStyle w:val="ConsPlusNormal"/>
            </w:pPr>
          </w:p>
        </w:tc>
        <w:tc>
          <w:tcPr>
            <w:tcW w:w="5778" w:type="dxa"/>
          </w:tcPr>
          <w:p w:rsidR="002F54AF" w:rsidRDefault="002F54AF" w:rsidP="00BA50DE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964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07" w:type="dxa"/>
          </w:tcPr>
          <w:p w:rsidR="002F54AF" w:rsidRDefault="002F54AF" w:rsidP="00BA50DE">
            <w:pPr>
              <w:pStyle w:val="ConsPlusNormal"/>
              <w:jc w:val="center"/>
            </w:pPr>
            <w:r>
              <w:t>0,9</w:t>
            </w:r>
          </w:p>
        </w:tc>
      </w:tr>
    </w:tbl>
    <w:p w:rsidR="002F54AF" w:rsidRDefault="002F54AF" w:rsidP="002F54AF">
      <w:pPr>
        <w:pStyle w:val="ConsPlusNormal"/>
        <w:ind w:firstLine="540"/>
        <w:jc w:val="both"/>
      </w:pPr>
    </w:p>
    <w:p w:rsidR="002F54AF" w:rsidRDefault="002F54AF" w:rsidP="002F54AF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F54AF" w:rsidRDefault="002F54AF"/>
    <w:p w:rsidR="002F54AF" w:rsidRDefault="002F54AF"/>
    <w:p w:rsidR="002F54AF" w:rsidRDefault="002F54AF"/>
    <w:p w:rsidR="002F54AF" w:rsidRDefault="002F54AF"/>
    <w:p w:rsidR="002F54AF" w:rsidRDefault="002F54AF"/>
    <w:p w:rsidR="002F54AF" w:rsidRDefault="002F54AF"/>
    <w:sectPr w:rsidR="002F54AF" w:rsidSect="002F54A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EC5"/>
    <w:multiLevelType w:val="hybridMultilevel"/>
    <w:tmpl w:val="E8CE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E1"/>
    <w:rsid w:val="002F54AF"/>
    <w:rsid w:val="00654AE1"/>
    <w:rsid w:val="006F4767"/>
    <w:rsid w:val="00750969"/>
    <w:rsid w:val="00E03214"/>
    <w:rsid w:val="00E94F42"/>
    <w:rsid w:val="00E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2710</Words>
  <Characters>15449</Characters>
  <Application>Microsoft Office Word</Application>
  <DocSecurity>0</DocSecurity>
  <Lines>128</Lines>
  <Paragraphs>36</Paragraphs>
  <ScaleCrop>false</ScaleCrop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2024-08-24T12:58:00Z</dcterms:created>
  <dcterms:modified xsi:type="dcterms:W3CDTF">2024-08-24T13:08:00Z</dcterms:modified>
</cp:coreProperties>
</file>